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49" w:rsidRDefault="00915E49" w:rsidP="00915E49">
      <w:pPr>
        <w:shd w:val="clear" w:color="auto" w:fill="FFFFFF"/>
        <w:rPr>
          <w:color w:val="000000"/>
        </w:rPr>
      </w:pPr>
      <w:bookmarkStart w:id="0" w:name="_GoBack"/>
      <w:bookmarkEnd w:id="0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8"/>
      </w:tblGrid>
      <w:tr w:rsidR="00915E49" w:rsidTr="00915E49">
        <w:trPr>
          <w:tblCellSpacing w:w="15" w:type="dxa"/>
        </w:trPr>
        <w:tc>
          <w:tcPr>
            <w:tcW w:w="0" w:type="auto"/>
            <w:tcMar>
              <w:top w:w="18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15E49" w:rsidRDefault="00915E49" w:rsidP="00A42094">
            <w:pPr>
              <w:jc w:val="center"/>
            </w:pPr>
            <w:r>
              <w:rPr>
                <w:noProof/>
                <w:color w:val="0000FF"/>
                <w:bdr w:val="none" w:sz="0" w:space="0" w:color="auto" w:frame="1"/>
              </w:rPr>
              <w:drawing>
                <wp:inline distT="0" distB="0" distL="0" distR="0">
                  <wp:extent cx="864000" cy="852480"/>
                  <wp:effectExtent l="0" t="0" r="0" b="5080"/>
                  <wp:docPr id="1" name="Immagine 1" descr="Descrizione: Descrizione: Descrizione: Descrizione: http://www.ovse.org/img/logositoMail.gif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iv1893110635_x0000_i1025" descr="Descrizione: Descrizione: Descrizione: Descrizione: http://www.ovse.org/img/logositoMa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5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E49" w:rsidTr="00915E49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4950" w:type="pct"/>
              <w:jc w:val="center"/>
              <w:tblCellSpacing w:w="0" w:type="dxa"/>
              <w:tblBorders>
                <w:top w:val="single" w:sz="8" w:space="0" w:color="CD000B"/>
                <w:left w:val="single" w:sz="8" w:space="0" w:color="CD000B"/>
                <w:bottom w:val="single" w:sz="8" w:space="0" w:color="CD000B"/>
                <w:right w:val="single" w:sz="8" w:space="0" w:color="CD000B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66"/>
            </w:tblGrid>
            <w:tr w:rsidR="00915E4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D000B"/>
                  <w:tcMar>
                    <w:top w:w="90" w:type="dxa"/>
                    <w:left w:w="240" w:type="dxa"/>
                    <w:bottom w:w="90" w:type="dxa"/>
                    <w:right w:w="240" w:type="dxa"/>
                  </w:tcMar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71"/>
                    <w:gridCol w:w="85"/>
                  </w:tblGrid>
                  <w:tr w:rsidR="003F74F4" w:rsidTr="003F74F4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hideMark/>
                      </w:tcPr>
                      <w:p w:rsidR="00915E49" w:rsidRDefault="003F74F4">
                        <w:r>
                          <w:t xml:space="preserve">                                                 </w:t>
                        </w:r>
                        <w:hyperlink w:history="1">
                          <w:r w:rsidRPr="003F74F4">
                            <w:rPr>
                              <w:rStyle w:val="Collegamentoipertestuale"/>
                              <w:rFonts w:ascii="Lucida Sans" w:hAnsi="Lucida Sans"/>
                              <w:color w:val="FFFFFF" w:themeColor="background1"/>
                              <w:sz w:val="18"/>
                              <w:szCs w:val="18"/>
                            </w:rPr>
                            <w:t>O.V.S.E. – C.E.V.E.S. www.ovse.org</w:t>
                          </w:r>
                        </w:hyperlink>
                        <w:r w:rsidR="00915E49" w:rsidRPr="003F74F4">
                          <w:rPr>
                            <w:rFonts w:ascii="Lucida Sans" w:hAnsi="Lucida Sans"/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15E49" w:rsidRDefault="00915E49">
                        <w:pPr>
                          <w:jc w:val="right"/>
                        </w:pPr>
                        <w:r>
                          <w:rPr>
                            <w:rFonts w:ascii="Lucida Sans" w:hAnsi="Lucida Sans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915E49" w:rsidRDefault="00915E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15E49" w:rsidTr="009C0207">
              <w:trPr>
                <w:trHeight w:val="10119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0" w:type="dxa"/>
                    <w:left w:w="300" w:type="dxa"/>
                    <w:bottom w:w="0" w:type="dxa"/>
                    <w:right w:w="300" w:type="dxa"/>
                  </w:tcMar>
                </w:tcPr>
                <w:p w:rsidR="003F74F4" w:rsidRPr="00C01609" w:rsidRDefault="00C01609" w:rsidP="003F74F4">
                  <w:pPr>
                    <w:jc w:val="center"/>
                    <w:rPr>
                      <w:rFonts w:eastAsia="Batang"/>
                      <w:b/>
                      <w:sz w:val="36"/>
                      <w:szCs w:val="36"/>
                      <w:u w:val="single"/>
                    </w:rPr>
                  </w:pPr>
                  <w:r w:rsidRPr="00C01609">
                    <w:rPr>
                      <w:rFonts w:eastAsia="Batang"/>
                      <w:b/>
                      <w:sz w:val="36"/>
                      <w:szCs w:val="36"/>
                      <w:u w:val="single"/>
                    </w:rPr>
                    <w:t xml:space="preserve">PREMIO </w:t>
                  </w:r>
                  <w:r w:rsidR="003F74F4" w:rsidRPr="00C01609">
                    <w:rPr>
                      <w:rFonts w:eastAsia="Batang"/>
                      <w:b/>
                      <w:sz w:val="36"/>
                      <w:szCs w:val="36"/>
                      <w:u w:val="single"/>
                    </w:rPr>
                    <w:t>LAUREA "GIUSEPPE COMOLLI"</w:t>
                  </w:r>
                  <w:r w:rsidRPr="00C01609">
                    <w:rPr>
                      <w:rFonts w:eastAsia="Batang"/>
                      <w:b/>
                      <w:sz w:val="36"/>
                      <w:szCs w:val="36"/>
                      <w:u w:val="single"/>
                    </w:rPr>
                    <w:t>2016-2017</w:t>
                  </w:r>
                </w:p>
                <w:p w:rsidR="009C0207" w:rsidRPr="009C0207" w:rsidRDefault="003F74F4" w:rsidP="000C15BE">
                  <w:pPr>
                    <w:jc w:val="center"/>
                    <w:rPr>
                      <w:rFonts w:eastAsia="Batang"/>
                      <w:sz w:val="28"/>
                    </w:rPr>
                  </w:pPr>
                  <w:r w:rsidRPr="003F74F4">
                    <w:rPr>
                      <w:rFonts w:eastAsia="Batang"/>
                      <w:sz w:val="28"/>
                      <w:u w:val="single"/>
                    </w:rPr>
                    <w:t xml:space="preserve">a  una  tesi sui  vini, vini spumanti ed </w:t>
                  </w:r>
                  <w:r w:rsidR="002D6A50" w:rsidRPr="008B7A1B">
                    <w:rPr>
                      <w:rFonts w:eastAsia="Batang"/>
                      <w:sz w:val="28"/>
                      <w:u w:val="single"/>
                    </w:rPr>
                    <w:t>effervescenti</w:t>
                  </w:r>
                  <w:r w:rsidR="001221B0" w:rsidRPr="008B7A1B">
                    <w:rPr>
                      <w:rFonts w:eastAsia="Batang"/>
                      <w:sz w:val="28"/>
                      <w:u w:val="single"/>
                    </w:rPr>
                    <w:t xml:space="preserve"> italiani</w:t>
                  </w:r>
                  <w:r w:rsidR="002D6A50" w:rsidRPr="008B7A1B">
                    <w:rPr>
                      <w:rFonts w:eastAsia="Batang"/>
                      <w:sz w:val="28"/>
                    </w:rPr>
                    <w:t xml:space="preserve"> </w:t>
                  </w:r>
                </w:p>
                <w:p w:rsidR="003F74F4" w:rsidRPr="003F74F4" w:rsidRDefault="003F74F4" w:rsidP="00412F47">
                  <w:pPr>
                    <w:jc w:val="both"/>
                    <w:rPr>
                      <w:rFonts w:eastAsia="Times New Roman"/>
                    </w:rPr>
                  </w:pPr>
                  <w:r w:rsidRPr="003F74F4">
                    <w:rPr>
                      <w:rFonts w:eastAsia="Times New Roman"/>
                    </w:rPr>
                    <w:t>P</w:t>
                  </w:r>
                  <w:r w:rsidR="002D6A50" w:rsidRPr="008B7A1B">
                    <w:rPr>
                      <w:rFonts w:eastAsia="Times New Roman"/>
                    </w:rPr>
                    <w:t>er onorare la memoria di</w:t>
                  </w:r>
                  <w:r w:rsidR="00C01609">
                    <w:rPr>
                      <w:rFonts w:eastAsia="Times New Roman"/>
                    </w:rPr>
                    <w:t xml:space="preserve"> Giuseppe Comolli</w:t>
                  </w:r>
                  <w:r w:rsidRPr="003F74F4">
                    <w:rPr>
                      <w:rFonts w:eastAsia="Times New Roman"/>
                    </w:rPr>
                    <w:t>, piacent</w:t>
                  </w:r>
                  <w:r w:rsidR="00C01609">
                    <w:rPr>
                      <w:rFonts w:eastAsia="Times New Roman"/>
                    </w:rPr>
                    <w:t xml:space="preserve">ino, agronomo, docente </w:t>
                  </w:r>
                  <w:r w:rsidRPr="003F74F4">
                    <w:rPr>
                      <w:rFonts w:eastAsia="Times New Roman"/>
                    </w:rPr>
                    <w:t>di istruzione agraria,</w:t>
                  </w:r>
                  <w:r w:rsidR="00C01609">
                    <w:rPr>
                      <w:rFonts w:eastAsia="Times New Roman"/>
                    </w:rPr>
                    <w:t xml:space="preserve"> tecnico del territorio</w:t>
                  </w:r>
                  <w:r w:rsidRPr="003F74F4">
                    <w:rPr>
                      <w:rFonts w:eastAsia="Times New Roman"/>
                    </w:rPr>
                    <w:t xml:space="preserve">, esperto di viticoltura,  è istituito un premio  di  laurea  da assegnare,  con </w:t>
                  </w:r>
                  <w:r w:rsidR="002D6A50" w:rsidRPr="008B7A1B">
                    <w:rPr>
                      <w:rFonts w:eastAsia="Times New Roman"/>
                    </w:rPr>
                    <w:t>cadenza biennale, a</w:t>
                  </w:r>
                  <w:r w:rsidRPr="003F74F4">
                    <w:rPr>
                      <w:rFonts w:eastAsia="Times New Roman"/>
                    </w:rPr>
                    <w:t xml:space="preserve"> </w:t>
                  </w:r>
                  <w:r w:rsidR="002D6A50" w:rsidRPr="008B7A1B">
                    <w:rPr>
                      <w:rFonts w:eastAsia="Times New Roman"/>
                    </w:rPr>
                    <w:t>decorrere</w:t>
                  </w:r>
                  <w:r w:rsidRPr="003F74F4">
                    <w:rPr>
                      <w:rFonts w:eastAsia="Times New Roman"/>
                    </w:rPr>
                    <w:t xml:space="preserve"> dal</w:t>
                  </w:r>
                  <w:r w:rsidR="00C01609">
                    <w:rPr>
                      <w:rFonts w:eastAsia="Times New Roman"/>
                    </w:rPr>
                    <w:t xml:space="preserve"> </w:t>
                  </w:r>
                  <w:r w:rsidRPr="003F74F4">
                    <w:rPr>
                      <w:rFonts w:eastAsia="Times New Roman"/>
                    </w:rPr>
                    <w:t>1990</w:t>
                  </w:r>
                  <w:r w:rsidR="002D6A50" w:rsidRPr="008B7A1B">
                    <w:rPr>
                      <w:rFonts w:eastAsia="Times New Roman"/>
                    </w:rPr>
                    <w:t>-1991</w:t>
                  </w:r>
                  <w:r w:rsidR="00B27B46">
                    <w:rPr>
                      <w:rFonts w:eastAsia="Times New Roman"/>
                    </w:rPr>
                    <w:t>, all’</w:t>
                  </w:r>
                  <w:r w:rsidR="00ED30FE" w:rsidRPr="008B7A1B">
                    <w:rPr>
                      <w:rFonts w:eastAsia="Times New Roman"/>
                    </w:rPr>
                    <w:t>autore di un elaborato</w:t>
                  </w:r>
                  <w:r w:rsidRPr="003F74F4">
                    <w:rPr>
                      <w:rFonts w:eastAsia="Times New Roman"/>
                    </w:rPr>
                    <w:t xml:space="preserve"> di ricerca</w:t>
                  </w:r>
                  <w:r w:rsidR="00C01609">
                    <w:rPr>
                      <w:rFonts w:eastAsia="Times New Roman"/>
                    </w:rPr>
                    <w:t xml:space="preserve"> </w:t>
                  </w:r>
                  <w:r w:rsidR="00B27B46">
                    <w:rPr>
                      <w:rFonts w:eastAsia="Times New Roman"/>
                    </w:rPr>
                    <w:t xml:space="preserve">su temi </w:t>
                  </w:r>
                  <w:r w:rsidR="00C01609">
                    <w:rPr>
                      <w:rFonts w:eastAsia="Times New Roman"/>
                    </w:rPr>
                    <w:t>viti</w:t>
                  </w:r>
                  <w:r w:rsidR="001221B0" w:rsidRPr="008B7A1B">
                    <w:rPr>
                      <w:rFonts w:eastAsia="Times New Roman"/>
                    </w:rPr>
                    <w:t xml:space="preserve">vinicolo, </w:t>
                  </w:r>
                  <w:r w:rsidRPr="003F74F4">
                    <w:rPr>
                      <w:rFonts w:eastAsia="Times New Roman"/>
                    </w:rPr>
                    <w:t>en</w:t>
                  </w:r>
                  <w:r w:rsidR="00C01609">
                    <w:rPr>
                      <w:rFonts w:eastAsia="Times New Roman"/>
                    </w:rPr>
                    <w:t>ologico, economico,</w:t>
                  </w:r>
                  <w:r w:rsidR="00B27B46">
                    <w:rPr>
                      <w:rFonts w:eastAsia="Times New Roman"/>
                    </w:rPr>
                    <w:t xml:space="preserve"> marketing, giuridico</w:t>
                  </w:r>
                  <w:r w:rsidR="00C01609">
                    <w:rPr>
                      <w:rFonts w:eastAsia="Times New Roman"/>
                    </w:rPr>
                    <w:t xml:space="preserve"> dedicato ad approfondire e valorizzare la produzione di vini, vini spumanti ed effervescenti italiani di alta qualità, e</w:t>
                  </w:r>
                  <w:r w:rsidR="001221B0" w:rsidRPr="008B7A1B">
                    <w:rPr>
                      <w:rFonts w:eastAsia="Times New Roman"/>
                    </w:rPr>
                    <w:t xml:space="preserve"> discusso in una </w:t>
                  </w:r>
                  <w:r w:rsidR="00C01609">
                    <w:rPr>
                      <w:rFonts w:eastAsia="Times New Roman"/>
                    </w:rPr>
                    <w:t>Facoltà Universitaria Europea</w:t>
                  </w:r>
                  <w:r w:rsidR="00B27B46">
                    <w:rPr>
                      <w:rFonts w:eastAsia="Times New Roman"/>
                    </w:rPr>
                    <w:t xml:space="preserve"> al termine del corso di laurea </w:t>
                  </w:r>
                  <w:r w:rsidR="00C01609">
                    <w:rPr>
                      <w:rFonts w:eastAsia="Times New Roman"/>
                    </w:rPr>
                    <w:t xml:space="preserve">completo, sostenuta </w:t>
                  </w:r>
                  <w:r w:rsidR="001221B0" w:rsidRPr="008B7A1B">
                    <w:rPr>
                      <w:rFonts w:eastAsia="Times New Roman"/>
                    </w:rPr>
                    <w:t xml:space="preserve">in modo </w:t>
                  </w:r>
                  <w:r w:rsidR="00B27B46">
                    <w:rPr>
                      <w:rFonts w:eastAsia="Times New Roman"/>
                    </w:rPr>
                    <w:t xml:space="preserve">molto </w:t>
                  </w:r>
                  <w:r w:rsidR="00C01609">
                    <w:rPr>
                      <w:rFonts w:eastAsia="Times New Roman"/>
                    </w:rPr>
                    <w:t>brillante.</w:t>
                  </w:r>
                </w:p>
                <w:p w:rsidR="003F74F4" w:rsidRPr="003F74F4" w:rsidRDefault="003F74F4" w:rsidP="003F74F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</w:p>
                <w:p w:rsidR="003F74F4" w:rsidRPr="003F74F4" w:rsidRDefault="003F74F4" w:rsidP="00412F47">
                  <w:pPr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3F74F4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NORME DI PARTECIPAZIONE</w:t>
                  </w:r>
                </w:p>
                <w:p w:rsidR="008603F4" w:rsidRPr="008B7A1B" w:rsidRDefault="00C01609" w:rsidP="00412F47">
                  <w:pPr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Possono concorrere al bando del</w:t>
                  </w:r>
                  <w:r w:rsidR="003F74F4" w:rsidRPr="003F74F4">
                    <w:rPr>
                      <w:rFonts w:eastAsia="Times New Roman"/>
                      <w:sz w:val="20"/>
                      <w:szCs w:val="20"/>
                    </w:rPr>
                    <w:t xml:space="preserve"> premio </w:t>
                  </w:r>
                  <w:r w:rsidR="008603F4" w:rsidRPr="008B7A1B">
                    <w:rPr>
                      <w:rFonts w:eastAsia="Times New Roman"/>
                      <w:sz w:val="20"/>
                      <w:szCs w:val="20"/>
                    </w:rPr>
                    <w:t xml:space="preserve">di laurea </w:t>
                  </w:r>
                  <w:r w:rsidR="003F74F4" w:rsidRPr="003F74F4">
                    <w:rPr>
                      <w:rFonts w:eastAsia="Times New Roman"/>
                      <w:sz w:val="20"/>
                      <w:szCs w:val="20"/>
                    </w:rPr>
                    <w:t>per la miglior</w:t>
                  </w:r>
                  <w:r w:rsidR="002D6A50" w:rsidRPr="008B7A1B">
                    <w:rPr>
                      <w:rFonts w:eastAsia="Times New Roman"/>
                      <w:sz w:val="20"/>
                      <w:szCs w:val="20"/>
                    </w:rPr>
                    <w:t xml:space="preserve"> tesi su</w:t>
                  </w:r>
                  <w:r w:rsidR="003F74F4" w:rsidRPr="003F74F4">
                    <w:rPr>
                      <w:rFonts w:eastAsia="Times New Roman"/>
                      <w:sz w:val="20"/>
                      <w:szCs w:val="20"/>
                    </w:rPr>
                    <w:t xml:space="preserve"> vini di qualità</w:t>
                  </w:r>
                  <w:r w:rsidR="002D6A50" w:rsidRPr="008B7A1B">
                    <w:rPr>
                      <w:rFonts w:eastAsia="Times New Roman"/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2D6A50" w:rsidRPr="008B7A1B">
                    <w:rPr>
                      <w:rFonts w:eastAsia="Times New Roman"/>
                      <w:sz w:val="20"/>
                      <w:szCs w:val="20"/>
                    </w:rPr>
                    <w:t>vsqprd-dop</w:t>
                  </w:r>
                  <w:r w:rsidR="00ED30FE" w:rsidRPr="008B7A1B">
                    <w:rPr>
                      <w:rFonts w:eastAsia="Times New Roman"/>
                      <w:sz w:val="20"/>
                      <w:szCs w:val="20"/>
                    </w:rPr>
                    <w:t>-igp</w:t>
                  </w:r>
                  <w:proofErr w:type="spellEnd"/>
                  <w:r w:rsidR="002D6A50" w:rsidRPr="008B7A1B">
                    <w:rPr>
                      <w:rFonts w:eastAsia="Times New Roman"/>
                      <w:sz w:val="20"/>
                      <w:szCs w:val="20"/>
                    </w:rPr>
                    <w:t>)</w:t>
                  </w:r>
                  <w:r w:rsidR="003F74F4" w:rsidRPr="003F74F4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="008B7A1B" w:rsidRPr="008B7A1B">
                    <w:rPr>
                      <w:rFonts w:eastAsia="Times New Roman"/>
                      <w:sz w:val="20"/>
                      <w:szCs w:val="20"/>
                    </w:rPr>
                    <w:t xml:space="preserve"> tutti i laureati che invian</w:t>
                  </w:r>
                  <w:r w:rsidR="008603F4" w:rsidRPr="008B7A1B">
                    <w:rPr>
                      <w:rFonts w:eastAsia="Times New Roman"/>
                      <w:sz w:val="20"/>
                      <w:szCs w:val="20"/>
                    </w:rPr>
                    <w:t>o in formato cartaceo via posta</w:t>
                  </w:r>
                  <w:r w:rsidR="00B27B46">
                    <w:rPr>
                      <w:rFonts w:eastAsia="Times New Roman"/>
                      <w:sz w:val="20"/>
                      <w:szCs w:val="20"/>
                    </w:rPr>
                    <w:t xml:space="preserve"> ordinaria</w:t>
                  </w:r>
                  <w:r w:rsidR="008603F4" w:rsidRPr="008B7A1B">
                    <w:rPr>
                      <w:rFonts w:eastAsia="Times New Roman"/>
                      <w:sz w:val="20"/>
                      <w:szCs w:val="20"/>
                    </w:rPr>
                    <w:t xml:space="preserve"> o tramite mail,</w:t>
                  </w:r>
                  <w:r w:rsidR="00ED30FE" w:rsidRPr="008B7A1B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in lingua</w:t>
                  </w:r>
                  <w:r w:rsidR="008603F4" w:rsidRPr="008B7A1B">
                    <w:rPr>
                      <w:rFonts w:eastAsia="Times New Roman"/>
                      <w:sz w:val="20"/>
                      <w:szCs w:val="20"/>
                    </w:rPr>
                    <w:t xml:space="preserve"> italiana o francese o inglese</w:t>
                  </w:r>
                  <w:r w:rsidR="00ED30FE" w:rsidRPr="008B7A1B">
                    <w:rPr>
                      <w:rFonts w:eastAsia="Times New Roman"/>
                      <w:sz w:val="20"/>
                      <w:szCs w:val="20"/>
                    </w:rPr>
                    <w:t>, i segue</w:t>
                  </w:r>
                  <w:r w:rsidR="008B7A1B" w:rsidRPr="008B7A1B">
                    <w:rPr>
                      <w:rFonts w:eastAsia="Times New Roman"/>
                      <w:sz w:val="20"/>
                      <w:szCs w:val="20"/>
                    </w:rPr>
                    <w:t>nti documenti originali o copia conforme riconosciuta</w:t>
                  </w:r>
                  <w:r w:rsidR="00ED30FE" w:rsidRPr="008B7A1B">
                    <w:rPr>
                      <w:rFonts w:eastAsia="Times New Roman"/>
                      <w:sz w:val="20"/>
                      <w:szCs w:val="20"/>
                    </w:rPr>
                    <w:t>:</w:t>
                  </w:r>
                </w:p>
                <w:p w:rsidR="003F74F4" w:rsidRPr="003F74F4" w:rsidRDefault="003F74F4" w:rsidP="00412F47">
                  <w:pPr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3F74F4">
                    <w:rPr>
                      <w:rFonts w:eastAsia="Times New Roman"/>
                      <w:sz w:val="20"/>
                      <w:szCs w:val="20"/>
                    </w:rPr>
                    <w:t>una copia dell'elaborato della tesi di  laurea</w:t>
                  </w:r>
                  <w:r w:rsidR="00ED30FE" w:rsidRPr="008B7A1B">
                    <w:rPr>
                      <w:rFonts w:eastAsia="Times New Roman"/>
                      <w:sz w:val="20"/>
                      <w:szCs w:val="20"/>
                    </w:rPr>
                    <w:t xml:space="preserve"> con nome del docente relatore;</w:t>
                  </w:r>
                  <w:r w:rsidR="008B7A1B" w:rsidRPr="008B7A1B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="00ED30FE" w:rsidRPr="008B7A1B">
                    <w:rPr>
                      <w:rFonts w:eastAsia="Times New Roman"/>
                      <w:sz w:val="20"/>
                      <w:szCs w:val="20"/>
                    </w:rPr>
                    <w:t xml:space="preserve"> certificato di laura </w:t>
                  </w:r>
                  <w:r w:rsidR="00891E35">
                    <w:rPr>
                      <w:rFonts w:eastAsia="Times New Roman"/>
                      <w:sz w:val="20"/>
                      <w:szCs w:val="20"/>
                    </w:rPr>
                    <w:t>rilasciato da</w:t>
                  </w:r>
                  <w:r w:rsidR="008603F4" w:rsidRPr="008B7A1B">
                    <w:rPr>
                      <w:rFonts w:eastAsia="Times New Roman"/>
                      <w:sz w:val="20"/>
                      <w:szCs w:val="20"/>
                    </w:rPr>
                    <w:t>lla Università</w:t>
                  </w:r>
                  <w:r w:rsidR="001B60EB">
                    <w:rPr>
                      <w:rFonts w:eastAsia="Times New Roman"/>
                      <w:sz w:val="20"/>
                      <w:szCs w:val="20"/>
                    </w:rPr>
                    <w:t xml:space="preserve"> con cursus </w:t>
                  </w:r>
                  <w:proofErr w:type="spellStart"/>
                  <w:r w:rsidR="001B60EB">
                    <w:rPr>
                      <w:rFonts w:eastAsia="Times New Roman"/>
                      <w:sz w:val="20"/>
                      <w:szCs w:val="20"/>
                    </w:rPr>
                    <w:t>studiorum</w:t>
                  </w:r>
                  <w:proofErr w:type="spellEnd"/>
                  <w:r w:rsidR="001B60EB">
                    <w:rPr>
                      <w:rFonts w:eastAsia="Times New Roman"/>
                      <w:sz w:val="20"/>
                      <w:szCs w:val="20"/>
                    </w:rPr>
                    <w:t xml:space="preserve">, </w:t>
                  </w:r>
                  <w:r w:rsidRPr="003F74F4">
                    <w:rPr>
                      <w:rFonts w:eastAsia="Times New Roman"/>
                      <w:sz w:val="20"/>
                      <w:szCs w:val="20"/>
                    </w:rPr>
                    <w:t>voti conseguiti nelle varie materie</w:t>
                  </w:r>
                  <w:r w:rsidR="00891E35">
                    <w:rPr>
                      <w:rFonts w:eastAsia="Times New Roman"/>
                      <w:sz w:val="20"/>
                      <w:szCs w:val="20"/>
                    </w:rPr>
                    <w:t xml:space="preserve"> d’esame</w:t>
                  </w:r>
                  <w:r w:rsidR="001B60EB">
                    <w:rPr>
                      <w:rFonts w:eastAsia="Times New Roman"/>
                      <w:sz w:val="20"/>
                      <w:szCs w:val="20"/>
                    </w:rPr>
                    <w:t xml:space="preserve"> e voto finale.</w:t>
                  </w:r>
                  <w:r w:rsidR="00ED30FE" w:rsidRPr="008B7A1B">
                    <w:rPr>
                      <w:rFonts w:eastAsia="Times New Roman"/>
                      <w:sz w:val="20"/>
                      <w:szCs w:val="20"/>
                    </w:rPr>
                    <w:t xml:space="preserve"> A discrezione del candidato può essere inviata per</w:t>
                  </w:r>
                  <w:r w:rsidR="00891E35">
                    <w:rPr>
                      <w:rFonts w:eastAsia="Times New Roman"/>
                      <w:sz w:val="20"/>
                      <w:szCs w:val="20"/>
                    </w:rPr>
                    <w:t xml:space="preserve"> posta </w:t>
                  </w:r>
                  <w:r w:rsidR="00C01609">
                    <w:rPr>
                      <w:rFonts w:eastAsia="Times New Roman"/>
                      <w:sz w:val="20"/>
                      <w:szCs w:val="20"/>
                    </w:rPr>
                    <w:t xml:space="preserve">anche una </w:t>
                  </w:r>
                  <w:r w:rsidR="00891E35">
                    <w:rPr>
                      <w:rFonts w:eastAsia="Times New Roman"/>
                      <w:sz w:val="20"/>
                      <w:szCs w:val="20"/>
                    </w:rPr>
                    <w:t>copia cartacea rilegata</w:t>
                  </w:r>
                  <w:r w:rsidR="00C01609">
                    <w:rPr>
                      <w:rFonts w:eastAsia="Times New Roman"/>
                      <w:sz w:val="20"/>
                      <w:szCs w:val="20"/>
                    </w:rPr>
                    <w:t xml:space="preserve"> che verrà trattenuta nella biblioteca</w:t>
                  </w:r>
                  <w:r w:rsidR="00ED30FE" w:rsidRPr="008B7A1B">
                    <w:rPr>
                      <w:rFonts w:eastAsia="Times New Roman"/>
                      <w:sz w:val="20"/>
                      <w:szCs w:val="20"/>
                    </w:rPr>
                    <w:t xml:space="preserve">. Tutta la documentazione indicata, </w:t>
                  </w:r>
                  <w:r w:rsidR="00891E35">
                    <w:rPr>
                      <w:rFonts w:eastAsia="Times New Roman"/>
                      <w:sz w:val="20"/>
                      <w:szCs w:val="20"/>
                    </w:rPr>
                    <w:t>pena esclusione</w:t>
                  </w:r>
                  <w:r w:rsidR="005F2984" w:rsidRPr="008B7A1B">
                    <w:rPr>
                      <w:rFonts w:eastAsia="Times New Roman"/>
                      <w:sz w:val="20"/>
                      <w:szCs w:val="20"/>
                    </w:rPr>
                    <w:t>, deve pervenire entro il 31 dicembre del s</w:t>
                  </w:r>
                  <w:r w:rsidR="00891E35">
                    <w:rPr>
                      <w:rFonts w:eastAsia="Times New Roman"/>
                      <w:sz w:val="20"/>
                      <w:szCs w:val="20"/>
                    </w:rPr>
                    <w:t>econdo anno del biennio di riferimento</w:t>
                  </w:r>
                  <w:r w:rsidR="005F2984" w:rsidRPr="008B7A1B">
                    <w:rPr>
                      <w:rFonts w:eastAsia="Times New Roman"/>
                      <w:sz w:val="20"/>
                      <w:szCs w:val="20"/>
                    </w:rPr>
                    <w:t>, in ogni caso entro il termine ultimo di discussione delle tesi dell’anno accademico</w:t>
                  </w:r>
                  <w:r w:rsidR="00891E35">
                    <w:rPr>
                      <w:rFonts w:eastAsia="Times New Roman"/>
                      <w:sz w:val="20"/>
                      <w:szCs w:val="20"/>
                    </w:rPr>
                    <w:t xml:space="preserve"> di iscrizione</w:t>
                  </w:r>
                  <w:r w:rsidR="001B60EB">
                    <w:rPr>
                      <w:rFonts w:eastAsia="Times New Roman"/>
                      <w:sz w:val="20"/>
                      <w:szCs w:val="20"/>
                    </w:rPr>
                    <w:t xml:space="preserve"> (primo appello-sessione nuovo anno), a</w:t>
                  </w:r>
                  <w:r w:rsidR="00891E35">
                    <w:rPr>
                      <w:rFonts w:eastAsia="Times New Roman"/>
                      <w:sz w:val="20"/>
                      <w:szCs w:val="20"/>
                    </w:rPr>
                    <w:t xml:space="preserve">: </w:t>
                  </w:r>
                  <w:r w:rsidRPr="003F74F4">
                    <w:rPr>
                      <w:rFonts w:eastAsia="Times New Roman"/>
                      <w:sz w:val="20"/>
                      <w:szCs w:val="20"/>
                      <w:u w:val="single"/>
                    </w:rPr>
                    <w:t>Osservatorio Economico Vini – Centro Studi</w:t>
                  </w:r>
                  <w:r w:rsidR="005F2984" w:rsidRPr="008B7A1B">
                    <w:rPr>
                      <w:rFonts w:eastAsia="Times New Roman"/>
                      <w:sz w:val="20"/>
                      <w:szCs w:val="20"/>
                      <w:u w:val="single"/>
                    </w:rPr>
                    <w:t>, recapito postale via R. Ancillott</w:t>
                  </w:r>
                  <w:r w:rsidR="001B60EB">
                    <w:rPr>
                      <w:rFonts w:eastAsia="Times New Roman"/>
                      <w:sz w:val="20"/>
                      <w:szCs w:val="20"/>
                      <w:u w:val="single"/>
                    </w:rPr>
                    <w:t>i 5/A - 29122 Piacenza (Italia)</w:t>
                  </w:r>
                  <w:r w:rsidR="001B60EB">
                    <w:rPr>
                      <w:rFonts w:eastAsia="Times New Roman"/>
                      <w:sz w:val="20"/>
                      <w:szCs w:val="20"/>
                    </w:rPr>
                    <w:t xml:space="preserve"> e</w:t>
                  </w:r>
                  <w:r w:rsidR="00891E35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="005F2984" w:rsidRPr="008B7A1B">
                    <w:rPr>
                      <w:rFonts w:eastAsia="Times New Roman"/>
                      <w:sz w:val="20"/>
                      <w:szCs w:val="20"/>
                    </w:rPr>
                    <w:t>in forma</w:t>
                  </w:r>
                  <w:r w:rsidR="001B60EB">
                    <w:rPr>
                      <w:rFonts w:eastAsia="Times New Roman"/>
                      <w:sz w:val="20"/>
                      <w:szCs w:val="20"/>
                    </w:rPr>
                    <w:t xml:space="preserve">to digitale all’indirizzo </w:t>
                  </w:r>
                  <w:hyperlink r:id="rId8" w:history="1">
                    <w:r w:rsidRPr="008B7A1B">
                      <w:rPr>
                        <w:rFonts w:eastAsia="Times New Roman"/>
                        <w:color w:val="0000FF"/>
                        <w:sz w:val="20"/>
                        <w:szCs w:val="20"/>
                        <w:u w:val="single"/>
                      </w:rPr>
                      <w:t>info@ovse.org</w:t>
                    </w:r>
                  </w:hyperlink>
                  <w:r w:rsidR="005F2984" w:rsidRPr="008B7A1B">
                    <w:rPr>
                      <w:rFonts w:eastAsia="Times New Roman"/>
                      <w:sz w:val="20"/>
                      <w:szCs w:val="20"/>
                    </w:rPr>
                    <w:t>. L</w:t>
                  </w:r>
                  <w:r w:rsidR="001B60EB">
                    <w:rPr>
                      <w:rFonts w:eastAsia="Times New Roman"/>
                      <w:sz w:val="20"/>
                      <w:szCs w:val="20"/>
                    </w:rPr>
                    <w:t xml:space="preserve">a premiazione avverrà entro l’anno successivo. La Commissione Giudicatrice indica una sola e unica tesi meritevole del premio di laurea in danaro fra tutte quelle pervenute nei tempi e modi obbligatori a insindacabile giudizio di una Commissione </w:t>
                  </w:r>
                  <w:r w:rsidR="00891E35">
                    <w:rPr>
                      <w:rFonts w:eastAsia="Times New Roman"/>
                      <w:sz w:val="20"/>
                      <w:szCs w:val="20"/>
                    </w:rPr>
                    <w:t>composta da</w:t>
                  </w:r>
                  <w:r w:rsidRPr="003F74F4">
                    <w:rPr>
                      <w:rFonts w:eastAsia="Times New Roman"/>
                      <w:sz w:val="20"/>
                      <w:szCs w:val="20"/>
                    </w:rPr>
                    <w:t xml:space="preserve"> 5 membri</w:t>
                  </w:r>
                  <w:r w:rsidR="005F2984" w:rsidRPr="008B7A1B">
                    <w:rPr>
                      <w:rFonts w:eastAsia="Times New Roman"/>
                      <w:sz w:val="20"/>
                      <w:szCs w:val="20"/>
                    </w:rPr>
                    <w:t xml:space="preserve"> (</w:t>
                  </w:r>
                  <w:r w:rsidRPr="003F74F4">
                    <w:rPr>
                      <w:rFonts w:eastAsia="Times New Roman"/>
                      <w:sz w:val="20"/>
                      <w:szCs w:val="20"/>
                    </w:rPr>
                    <w:t>Accademia Italiana della Vite e del Vino</w:t>
                  </w:r>
                  <w:r w:rsidR="005F2984" w:rsidRPr="008B7A1B">
                    <w:rPr>
                      <w:rFonts w:eastAsia="Times New Roman"/>
                      <w:sz w:val="20"/>
                      <w:szCs w:val="20"/>
                    </w:rPr>
                    <w:t xml:space="preserve">, </w:t>
                  </w:r>
                  <w:r w:rsidRPr="003F74F4">
                    <w:rPr>
                      <w:rFonts w:eastAsia="Times New Roman"/>
                      <w:sz w:val="20"/>
                      <w:szCs w:val="20"/>
                    </w:rPr>
                    <w:t>Accademia dei Georgofili</w:t>
                  </w:r>
                  <w:r w:rsidR="00412F47" w:rsidRPr="008B7A1B">
                    <w:rPr>
                      <w:rFonts w:eastAsia="Times New Roman"/>
                      <w:sz w:val="20"/>
                      <w:szCs w:val="20"/>
                    </w:rPr>
                    <w:t xml:space="preserve">, Docenti </w:t>
                  </w:r>
                  <w:r w:rsidR="005F2984" w:rsidRPr="008B7A1B">
                    <w:rPr>
                      <w:rFonts w:eastAsia="Times New Roman"/>
                      <w:sz w:val="20"/>
                      <w:szCs w:val="20"/>
                    </w:rPr>
                    <w:t>di Facoltà</w:t>
                  </w:r>
                  <w:r w:rsidR="00412F47" w:rsidRPr="008B7A1B">
                    <w:rPr>
                      <w:rFonts w:eastAsia="Times New Roman"/>
                      <w:sz w:val="20"/>
                      <w:szCs w:val="20"/>
                    </w:rPr>
                    <w:t xml:space="preserve"> di Agraria Europee, Organizzazione Europea del Vino, Comm</w:t>
                  </w:r>
                  <w:r w:rsidR="00891E35">
                    <w:rPr>
                      <w:rFonts w:eastAsia="Times New Roman"/>
                      <w:sz w:val="20"/>
                      <w:szCs w:val="20"/>
                    </w:rPr>
                    <w:t>issione Agricoltura Parlamento E</w:t>
                  </w:r>
                  <w:r w:rsidR="00412F47" w:rsidRPr="008B7A1B">
                    <w:rPr>
                      <w:rFonts w:eastAsia="Times New Roman"/>
                      <w:sz w:val="20"/>
                      <w:szCs w:val="20"/>
                    </w:rPr>
                    <w:t>uropeo)</w:t>
                  </w:r>
                  <w:r w:rsidRPr="003F74F4">
                    <w:rPr>
                      <w:rFonts w:eastAsia="Times New Roman"/>
                      <w:sz w:val="20"/>
                      <w:szCs w:val="20"/>
                    </w:rPr>
                    <w:t>,</w:t>
                  </w:r>
                  <w:r w:rsidR="00412F47" w:rsidRPr="008B7A1B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Pr="003F74F4">
                    <w:rPr>
                      <w:rFonts w:eastAsia="Times New Roman"/>
                      <w:sz w:val="20"/>
                      <w:szCs w:val="20"/>
                    </w:rPr>
                    <w:t xml:space="preserve"> presieduta da un </w:t>
                  </w:r>
                  <w:r w:rsidR="001B60EB">
                    <w:rPr>
                      <w:rFonts w:eastAsia="Times New Roman"/>
                      <w:sz w:val="20"/>
                      <w:szCs w:val="20"/>
                    </w:rPr>
                    <w:t xml:space="preserve">Accademico Vite Vino, da un Ordinario di Facoltà Europea e da Presidente </w:t>
                  </w:r>
                  <w:proofErr w:type="spellStart"/>
                  <w:r w:rsidR="001B60EB">
                    <w:rPr>
                      <w:rFonts w:eastAsia="Times New Roman"/>
                      <w:sz w:val="20"/>
                      <w:szCs w:val="20"/>
                    </w:rPr>
                    <w:t>Oiv</w:t>
                  </w:r>
                  <w:proofErr w:type="spellEnd"/>
                  <w:r w:rsidRPr="003F74F4">
                    <w:rPr>
                      <w:rFonts w:eastAsia="Times New Roman"/>
                      <w:sz w:val="20"/>
                      <w:szCs w:val="20"/>
                    </w:rPr>
                    <w:t>.</w:t>
                  </w:r>
                  <w:r w:rsidR="001B60EB">
                    <w:rPr>
                      <w:rFonts w:eastAsia="Times New Roman"/>
                      <w:sz w:val="20"/>
                      <w:szCs w:val="20"/>
                    </w:rPr>
                    <w:t xml:space="preserve"> Non sono previsti ex-equo.</w:t>
                  </w:r>
                  <w:r w:rsidRPr="003F74F4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="00891E35">
                    <w:rPr>
                      <w:rFonts w:eastAsia="Times New Roman"/>
                      <w:sz w:val="20"/>
                      <w:szCs w:val="20"/>
                    </w:rPr>
                    <w:t xml:space="preserve">La Commissione può </w:t>
                  </w:r>
                  <w:r w:rsidR="001B60EB">
                    <w:rPr>
                      <w:rFonts w:eastAsia="Times New Roman"/>
                      <w:sz w:val="20"/>
                      <w:szCs w:val="20"/>
                    </w:rPr>
                    <w:t>decidere di n</w:t>
                  </w:r>
                  <w:r w:rsidR="000C15BE">
                    <w:rPr>
                      <w:rFonts w:eastAsia="Times New Roman"/>
                      <w:sz w:val="20"/>
                      <w:szCs w:val="20"/>
                    </w:rPr>
                    <w:t xml:space="preserve">on assegnare il premio </w:t>
                  </w:r>
                  <w:r w:rsidR="001B60EB">
                    <w:rPr>
                      <w:rFonts w:eastAsia="Times New Roman"/>
                      <w:sz w:val="20"/>
                      <w:szCs w:val="20"/>
                    </w:rPr>
                    <w:t xml:space="preserve">per motivi diversi e può </w:t>
                  </w:r>
                  <w:r w:rsidR="00B27B46">
                    <w:rPr>
                      <w:rFonts w:eastAsia="Times New Roman"/>
                      <w:sz w:val="20"/>
                      <w:szCs w:val="20"/>
                    </w:rPr>
                    <w:t>r</w:t>
                  </w:r>
                  <w:r w:rsidR="00891E35">
                    <w:rPr>
                      <w:rFonts w:eastAsia="Times New Roman"/>
                      <w:sz w:val="20"/>
                      <w:szCs w:val="20"/>
                    </w:rPr>
                    <w:t>ilasciare menzioni speciali per gli elaborati meritevoli, se n</w:t>
                  </w:r>
                  <w:r w:rsidR="001B60EB">
                    <w:rPr>
                      <w:rFonts w:eastAsia="Times New Roman"/>
                      <w:sz w:val="20"/>
                      <w:szCs w:val="20"/>
                    </w:rPr>
                    <w:t>on assegnato il premio</w:t>
                  </w:r>
                  <w:r w:rsidR="00B27B46">
                    <w:rPr>
                      <w:rFonts w:eastAsia="Times New Roman"/>
                      <w:sz w:val="20"/>
                      <w:szCs w:val="20"/>
                    </w:rPr>
                    <w:t>.</w:t>
                  </w:r>
                  <w:r w:rsidR="00891E35">
                    <w:rPr>
                      <w:rFonts w:eastAsia="Times New Roman"/>
                      <w:sz w:val="20"/>
                      <w:szCs w:val="20"/>
                    </w:rPr>
                    <w:t xml:space="preserve"> Solo il</w:t>
                  </w:r>
                  <w:r w:rsidRPr="003F74F4">
                    <w:rPr>
                      <w:rFonts w:eastAsia="Times New Roman"/>
                      <w:sz w:val="20"/>
                      <w:szCs w:val="20"/>
                    </w:rPr>
                    <w:t xml:space="preserve"> premiato riceverà comunicazione  scritta del conf</w:t>
                  </w:r>
                  <w:r w:rsidR="00891E35">
                    <w:rPr>
                      <w:rFonts w:eastAsia="Times New Roman"/>
                      <w:sz w:val="20"/>
                      <w:szCs w:val="20"/>
                    </w:rPr>
                    <w:t>erimento e del valore della borsa</w:t>
                  </w:r>
                  <w:r w:rsidR="001B60EB">
                    <w:rPr>
                      <w:rFonts w:eastAsia="Times New Roman"/>
                      <w:sz w:val="20"/>
                      <w:szCs w:val="20"/>
                    </w:rPr>
                    <w:t xml:space="preserve"> entro 6 mesi</w:t>
                  </w:r>
                  <w:r w:rsidR="000C15BE">
                    <w:rPr>
                      <w:rFonts w:eastAsia="Times New Roman"/>
                      <w:sz w:val="20"/>
                      <w:szCs w:val="20"/>
                    </w:rPr>
                    <w:t xml:space="preserve"> dell’anno successivo</w:t>
                  </w:r>
                  <w:r w:rsidRPr="003F74F4">
                    <w:rPr>
                      <w:rFonts w:eastAsia="Times New Roman"/>
                      <w:sz w:val="20"/>
                      <w:szCs w:val="20"/>
                    </w:rPr>
                    <w:t>.</w:t>
                  </w:r>
                  <w:r w:rsidR="001B60EB">
                    <w:rPr>
                      <w:rFonts w:eastAsia="Times New Roman"/>
                      <w:sz w:val="20"/>
                      <w:szCs w:val="20"/>
                    </w:rPr>
                    <w:t xml:space="preserve"> Tutte le tesi</w:t>
                  </w:r>
                  <w:r w:rsidR="000C15BE">
                    <w:rPr>
                      <w:rFonts w:eastAsia="Times New Roman"/>
                      <w:sz w:val="20"/>
                      <w:szCs w:val="20"/>
                    </w:rPr>
                    <w:t xml:space="preserve"> pervenute resta</w:t>
                  </w:r>
                  <w:r w:rsidR="009E6365">
                    <w:rPr>
                      <w:rFonts w:eastAsia="Times New Roman"/>
                      <w:sz w:val="20"/>
                      <w:szCs w:val="20"/>
                    </w:rPr>
                    <w:t>no a</w:t>
                  </w:r>
                  <w:r w:rsidR="00B27B46">
                    <w:rPr>
                      <w:rFonts w:eastAsia="Times New Roman"/>
                      <w:sz w:val="20"/>
                      <w:szCs w:val="20"/>
                    </w:rPr>
                    <w:t xml:space="preserve"> disposizione dell’Osse</w:t>
                  </w:r>
                  <w:r w:rsidR="00891E35">
                    <w:rPr>
                      <w:rFonts w:eastAsia="Times New Roman"/>
                      <w:sz w:val="20"/>
                      <w:szCs w:val="20"/>
                    </w:rPr>
                    <w:t>rvatorio</w:t>
                  </w:r>
                  <w:r w:rsidR="009E6365">
                    <w:rPr>
                      <w:rFonts w:eastAsia="Times New Roman"/>
                      <w:sz w:val="20"/>
                      <w:szCs w:val="20"/>
                    </w:rPr>
                    <w:t xml:space="preserve">, </w:t>
                  </w:r>
                  <w:r w:rsidR="00891E35">
                    <w:rPr>
                      <w:rFonts w:eastAsia="Times New Roman"/>
                      <w:sz w:val="20"/>
                      <w:szCs w:val="20"/>
                    </w:rPr>
                    <w:t>dell</w:t>
                  </w:r>
                  <w:r w:rsidR="009E6365">
                    <w:rPr>
                      <w:rFonts w:eastAsia="Times New Roman"/>
                      <w:sz w:val="20"/>
                      <w:szCs w:val="20"/>
                    </w:rPr>
                    <w:t xml:space="preserve">a Commissione, sono consultabili </w:t>
                  </w:r>
                  <w:r w:rsidR="00B27B46">
                    <w:rPr>
                      <w:rFonts w:eastAsia="Times New Roman"/>
                      <w:sz w:val="20"/>
                      <w:szCs w:val="20"/>
                    </w:rPr>
                    <w:t>via web</w:t>
                  </w:r>
                  <w:r w:rsidR="009E6365">
                    <w:rPr>
                      <w:rFonts w:eastAsia="Times New Roman"/>
                      <w:sz w:val="20"/>
                      <w:szCs w:val="20"/>
                    </w:rPr>
                    <w:t xml:space="preserve"> e possono essere utilizzate per altre ricerche.</w:t>
                  </w:r>
                </w:p>
                <w:p w:rsidR="003F74F4" w:rsidRPr="00891E35" w:rsidRDefault="003F74F4" w:rsidP="003F74F4">
                  <w:pPr>
                    <w:rPr>
                      <w:rFonts w:eastAsia="Times New Roman"/>
                      <w:sz w:val="6"/>
                      <w:szCs w:val="6"/>
                    </w:rPr>
                  </w:pPr>
                  <w:r w:rsidRPr="003F74F4">
                    <w:rPr>
                      <w:rFonts w:eastAsia="Times New Roman"/>
                      <w:sz w:val="18"/>
                      <w:szCs w:val="18"/>
                    </w:rPr>
                    <w:t xml:space="preserve">                     </w:t>
                  </w:r>
                </w:p>
                <w:p w:rsidR="003F74F4" w:rsidRPr="003F74F4" w:rsidRDefault="003F74F4" w:rsidP="00412F47">
                  <w:pPr>
                    <w:rPr>
                      <w:rFonts w:ascii="Book Antiqua" w:eastAsia="Times New Roman" w:hAnsi="Book Antiqua"/>
                      <w:sz w:val="6"/>
                      <w:szCs w:val="6"/>
                    </w:rPr>
                  </w:pPr>
                </w:p>
                <w:p w:rsidR="003F74F4" w:rsidRPr="003F74F4" w:rsidRDefault="003F74F4" w:rsidP="002D6A50">
                  <w:pPr>
                    <w:jc w:val="center"/>
                    <w:rPr>
                      <w:rFonts w:ascii="Book Antiqua" w:eastAsia="Times New Roman" w:hAnsi="Book Antiqua"/>
                      <w:i/>
                      <w:sz w:val="18"/>
                      <w:szCs w:val="18"/>
                    </w:rPr>
                  </w:pPr>
                  <w:r w:rsidRPr="003F74F4">
                    <w:rPr>
                      <w:rFonts w:ascii="Book Antiqua" w:eastAsia="Times New Roman" w:hAnsi="Book Antiqua"/>
                      <w:i/>
                      <w:sz w:val="18"/>
                      <w:szCs w:val="18"/>
                    </w:rPr>
                    <w:t>Con il patrocinio di :</w:t>
                  </w:r>
                </w:p>
                <w:p w:rsidR="003F74F4" w:rsidRPr="003F74F4" w:rsidRDefault="003F74F4" w:rsidP="002D6A50">
                  <w:pPr>
                    <w:jc w:val="center"/>
                    <w:rPr>
                      <w:rFonts w:ascii="Book Antiqua" w:eastAsia="Times New Roman" w:hAnsi="Book Antiqua"/>
                      <w:sz w:val="18"/>
                      <w:szCs w:val="18"/>
                    </w:rPr>
                  </w:pPr>
                  <w:r w:rsidRPr="003F74F4">
                    <w:rPr>
                      <w:rFonts w:ascii="Book Antiqua" w:eastAsia="Times New Roman" w:hAnsi="Book Antiqua"/>
                      <w:sz w:val="18"/>
                      <w:szCs w:val="18"/>
                    </w:rPr>
                    <w:t xml:space="preserve">MINISTERO DELLE POLITICHE AGRICOLE </w:t>
                  </w:r>
                  <w:r w:rsidR="004E547B">
                    <w:rPr>
                      <w:rFonts w:ascii="Book Antiqua" w:eastAsia="Times New Roman" w:hAnsi="Book Antiqua"/>
                      <w:sz w:val="18"/>
                      <w:szCs w:val="18"/>
                    </w:rPr>
                    <w:t xml:space="preserve">ALIMENTARI </w:t>
                  </w:r>
                  <w:r w:rsidRPr="003F74F4">
                    <w:rPr>
                      <w:rFonts w:ascii="Book Antiqua" w:eastAsia="Times New Roman" w:hAnsi="Book Antiqua"/>
                      <w:sz w:val="18"/>
                      <w:szCs w:val="18"/>
                    </w:rPr>
                    <w:t>E FORESTALI</w:t>
                  </w:r>
                </w:p>
                <w:p w:rsidR="003F74F4" w:rsidRPr="003F74F4" w:rsidRDefault="003F74F4" w:rsidP="002D6A50">
                  <w:pPr>
                    <w:jc w:val="center"/>
                    <w:rPr>
                      <w:rFonts w:ascii="Book Antiqua" w:eastAsia="Times New Roman" w:hAnsi="Book Antiqua"/>
                      <w:sz w:val="18"/>
                      <w:szCs w:val="18"/>
                    </w:rPr>
                  </w:pPr>
                  <w:r w:rsidRPr="003F74F4">
                    <w:rPr>
                      <w:rFonts w:ascii="Book Antiqua" w:eastAsia="Times New Roman" w:hAnsi="Book Antiqua"/>
                      <w:sz w:val="18"/>
                      <w:szCs w:val="18"/>
                    </w:rPr>
                    <w:t>ACCADEMIA ITALIANA DELLA VITE E DEL VINO</w:t>
                  </w:r>
                </w:p>
                <w:p w:rsidR="008B2E4C" w:rsidRDefault="003F74F4" w:rsidP="008B2E4C">
                  <w:pPr>
                    <w:jc w:val="center"/>
                    <w:rPr>
                      <w:rFonts w:ascii="Book Antiqua" w:eastAsia="Times New Roman" w:hAnsi="Book Antiqua"/>
                      <w:sz w:val="18"/>
                      <w:szCs w:val="18"/>
                    </w:rPr>
                  </w:pPr>
                  <w:r w:rsidRPr="003F74F4">
                    <w:rPr>
                      <w:rFonts w:ascii="Book Antiqua" w:eastAsia="Times New Roman" w:hAnsi="Book Antiqua"/>
                      <w:sz w:val="18"/>
                      <w:szCs w:val="18"/>
                    </w:rPr>
                    <w:t>ACCADEMIA ITALIANA DEI GEORGOFILI</w:t>
                  </w:r>
                </w:p>
                <w:p w:rsidR="008B2E4C" w:rsidRPr="003F74F4" w:rsidRDefault="008B2E4C" w:rsidP="008B2E4C">
                  <w:pPr>
                    <w:jc w:val="center"/>
                    <w:rPr>
                      <w:rFonts w:ascii="Book Antiqua" w:eastAsia="Times New Roman" w:hAnsi="Book Antiqua"/>
                      <w:sz w:val="18"/>
                      <w:szCs w:val="18"/>
                    </w:rPr>
                  </w:pPr>
                  <w:r>
                    <w:rPr>
                      <w:rFonts w:ascii="Book Antiqua" w:eastAsia="Times New Roman" w:hAnsi="Book Antiqua"/>
                      <w:sz w:val="18"/>
                      <w:szCs w:val="18"/>
                    </w:rPr>
                    <w:t xml:space="preserve">ASSOCIAZIONEINTERNAZIONALE CULTURA AMBIENTE LAVORO SOLIDALE – AIKAL </w:t>
                  </w:r>
                </w:p>
                <w:p w:rsidR="003F74F4" w:rsidRPr="003F74F4" w:rsidRDefault="003F74F4" w:rsidP="002D6A50">
                  <w:pPr>
                    <w:jc w:val="center"/>
                    <w:rPr>
                      <w:rFonts w:ascii="Book Antiqua" w:eastAsia="Times New Roman" w:hAnsi="Book Antiqua"/>
                      <w:sz w:val="18"/>
                      <w:szCs w:val="18"/>
                    </w:rPr>
                  </w:pPr>
                  <w:r w:rsidRPr="003F74F4">
                    <w:rPr>
                      <w:rFonts w:ascii="Book Antiqua" w:eastAsia="Times New Roman" w:hAnsi="Book Antiqua"/>
                      <w:sz w:val="18"/>
                      <w:szCs w:val="18"/>
                    </w:rPr>
                    <w:t>ORGANIZZAZIONE NAZIONALE ASSAGGIATORI VINO</w:t>
                  </w:r>
                </w:p>
                <w:p w:rsidR="003F74F4" w:rsidRPr="003F74F4" w:rsidRDefault="003F74F4" w:rsidP="002D6A50">
                  <w:pPr>
                    <w:jc w:val="center"/>
                    <w:rPr>
                      <w:rFonts w:ascii="Book Antiqua" w:eastAsia="Times New Roman" w:hAnsi="Book Antiqua"/>
                      <w:sz w:val="18"/>
                      <w:szCs w:val="18"/>
                    </w:rPr>
                  </w:pPr>
                  <w:r w:rsidRPr="003F74F4">
                    <w:rPr>
                      <w:rFonts w:ascii="Book Antiqua" w:eastAsia="Times New Roman" w:hAnsi="Book Antiqua"/>
                      <w:sz w:val="18"/>
                      <w:szCs w:val="18"/>
                    </w:rPr>
                    <w:t>ASSOCIAZIONE ITALIANA SOMMELLIER</w:t>
                  </w:r>
                </w:p>
                <w:p w:rsidR="003F74F4" w:rsidRPr="003F74F4" w:rsidRDefault="003F74F4" w:rsidP="002D6A50">
                  <w:pPr>
                    <w:jc w:val="center"/>
                    <w:rPr>
                      <w:rFonts w:ascii="Book Antiqua" w:eastAsia="Times New Roman" w:hAnsi="Book Antiqua"/>
                      <w:sz w:val="18"/>
                      <w:szCs w:val="18"/>
                    </w:rPr>
                  </w:pPr>
                  <w:r w:rsidRPr="003F74F4">
                    <w:rPr>
                      <w:rFonts w:ascii="Book Antiqua" w:eastAsia="Times New Roman" w:hAnsi="Book Antiqua"/>
                      <w:sz w:val="18"/>
                      <w:szCs w:val="18"/>
                    </w:rPr>
                    <w:t>UNIONE  DELLE  CAMERE DI COMMERCIO, INDUSTRIA, ARTIGIANATO E AGRICOLTURA</w:t>
                  </w:r>
                </w:p>
                <w:p w:rsidR="003F74F4" w:rsidRPr="003F74F4" w:rsidRDefault="003F74F4" w:rsidP="002D6A50">
                  <w:pPr>
                    <w:jc w:val="center"/>
                    <w:rPr>
                      <w:rFonts w:ascii="Book Antiqua" w:eastAsia="Times New Roman" w:hAnsi="Book Antiqua"/>
                      <w:sz w:val="18"/>
                      <w:szCs w:val="18"/>
                    </w:rPr>
                  </w:pPr>
                  <w:r w:rsidRPr="003F74F4">
                    <w:rPr>
                      <w:rFonts w:ascii="Book Antiqua" w:eastAsia="Times New Roman" w:hAnsi="Book Antiqua"/>
                      <w:sz w:val="18"/>
                      <w:szCs w:val="18"/>
                    </w:rPr>
                    <w:t>CONFEDERAZIONE NAZIONALE DEI CONSORZI DI TUTELA DEI VINI D.O.</w:t>
                  </w:r>
                </w:p>
                <w:p w:rsidR="00915E49" w:rsidRPr="002D6A50" w:rsidRDefault="003F74F4" w:rsidP="002D6A50">
                  <w:pPr>
                    <w:jc w:val="center"/>
                    <w:rPr>
                      <w:rFonts w:ascii="Book Antiqua" w:eastAsia="Times New Roman" w:hAnsi="Book Antiqua"/>
                      <w:sz w:val="22"/>
                    </w:rPr>
                  </w:pPr>
                  <w:r w:rsidRPr="003F74F4">
                    <w:rPr>
                      <w:rFonts w:ascii="Book Antiqua" w:eastAsia="Times New Roman" w:hAnsi="Book Antiqua"/>
                      <w:sz w:val="18"/>
                      <w:szCs w:val="18"/>
                    </w:rPr>
                    <w:t>ASSOCIAZIONE NAZIONALE  LAUREATI   IN SCIENZE AGRARIE E FORESTALI</w:t>
                  </w:r>
                </w:p>
              </w:tc>
            </w:tr>
            <w:tr w:rsidR="00915E49" w:rsidTr="009C0207">
              <w:trPr>
                <w:trHeight w:val="2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95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915E49" w:rsidRPr="009E6365" w:rsidRDefault="00915E49">
                  <w:pPr>
                    <w:spacing w:line="21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915E49" w:rsidRPr="009C0207" w:rsidTr="009C0207">
              <w:trPr>
                <w:trHeight w:val="24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D000B"/>
                  <w:tcMar>
                    <w:top w:w="90" w:type="dxa"/>
                    <w:left w:w="240" w:type="dxa"/>
                    <w:bottom w:w="90" w:type="dxa"/>
                    <w:right w:w="240" w:type="dxa"/>
                  </w:tcMar>
                  <w:hideMark/>
                </w:tcPr>
                <w:p w:rsidR="00915E49" w:rsidRDefault="003F0C96">
                  <w:pPr>
                    <w:jc w:val="center"/>
                  </w:pPr>
                  <w:r>
                    <w:rPr>
                      <w:rFonts w:ascii="Lucida Sans" w:hAnsi="Lucida Sans"/>
                      <w:color w:val="FFFFFF"/>
                      <w:sz w:val="18"/>
                      <w:szCs w:val="18"/>
                    </w:rPr>
                    <w:t>|  Copyright ©1991</w:t>
                  </w:r>
                  <w:r w:rsidR="00915E49">
                    <w:rPr>
                      <w:rFonts w:ascii="Lucida Sans" w:hAnsi="Lucida Sans"/>
                      <w:color w:val="FFFFFF"/>
                      <w:sz w:val="18"/>
                      <w:szCs w:val="18"/>
                    </w:rPr>
                    <w:t xml:space="preserve"> Osservatorio Economico Vini</w:t>
                  </w:r>
                  <w:r>
                    <w:rPr>
                      <w:rFonts w:ascii="Lucida Sans" w:hAnsi="Lucida Sans"/>
                      <w:color w:val="FFFFFF"/>
                      <w:sz w:val="18"/>
                      <w:szCs w:val="18"/>
                    </w:rPr>
                    <w:t xml:space="preserve"> Effervescenti Spumanti Italiani</w:t>
                  </w:r>
                  <w:r w:rsidR="00915E49">
                    <w:rPr>
                      <w:rFonts w:ascii="Lucida Sans" w:hAnsi="Lucida Sans"/>
                      <w:color w:val="FFFFFF"/>
                      <w:sz w:val="18"/>
                      <w:szCs w:val="18"/>
                    </w:rPr>
                    <w:t>™  |</w:t>
                  </w:r>
                </w:p>
              </w:tc>
            </w:tr>
          </w:tbl>
          <w:p w:rsidR="00915E49" w:rsidRPr="009C0207" w:rsidRDefault="00915E4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915E49" w:rsidTr="00915E49">
        <w:trPr>
          <w:tblCellSpacing w:w="15" w:type="dxa"/>
        </w:trPr>
        <w:tc>
          <w:tcPr>
            <w:tcW w:w="0" w:type="auto"/>
            <w:tcMar>
              <w:top w:w="90" w:type="dxa"/>
              <w:left w:w="240" w:type="dxa"/>
              <w:bottom w:w="90" w:type="dxa"/>
              <w:right w:w="240" w:type="dxa"/>
            </w:tcMar>
            <w:hideMark/>
          </w:tcPr>
          <w:p w:rsidR="00915E49" w:rsidRDefault="00915E49" w:rsidP="0065439D"/>
        </w:tc>
      </w:tr>
    </w:tbl>
    <w:p w:rsidR="00915E49" w:rsidRPr="004E279B" w:rsidRDefault="00915E49" w:rsidP="00EF75D6">
      <w:pPr>
        <w:shd w:val="clear" w:color="auto" w:fill="FFFFFF"/>
        <w:rPr>
          <w:color w:val="000000"/>
        </w:rPr>
      </w:pPr>
    </w:p>
    <w:sectPr w:rsidR="00915E49" w:rsidRPr="004E27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E5"/>
    <w:rsid w:val="00017AD1"/>
    <w:rsid w:val="00025B05"/>
    <w:rsid w:val="00033C75"/>
    <w:rsid w:val="0006346A"/>
    <w:rsid w:val="00096499"/>
    <w:rsid w:val="000A601E"/>
    <w:rsid w:val="000C15BE"/>
    <w:rsid w:val="000E1DE4"/>
    <w:rsid w:val="000F06B8"/>
    <w:rsid w:val="00100B71"/>
    <w:rsid w:val="001221B0"/>
    <w:rsid w:val="001233DA"/>
    <w:rsid w:val="00133A5B"/>
    <w:rsid w:val="00172DF8"/>
    <w:rsid w:val="00184D70"/>
    <w:rsid w:val="00192E42"/>
    <w:rsid w:val="0019387E"/>
    <w:rsid w:val="001A112F"/>
    <w:rsid w:val="001A5226"/>
    <w:rsid w:val="001B60EB"/>
    <w:rsid w:val="001C36E5"/>
    <w:rsid w:val="00217174"/>
    <w:rsid w:val="00221995"/>
    <w:rsid w:val="00230850"/>
    <w:rsid w:val="00242911"/>
    <w:rsid w:val="00264D54"/>
    <w:rsid w:val="00280CB7"/>
    <w:rsid w:val="00292D56"/>
    <w:rsid w:val="00295947"/>
    <w:rsid w:val="002A7352"/>
    <w:rsid w:val="002C3BE0"/>
    <w:rsid w:val="002C7EF0"/>
    <w:rsid w:val="002D6A50"/>
    <w:rsid w:val="00393AF1"/>
    <w:rsid w:val="003D7AF8"/>
    <w:rsid w:val="003E0C95"/>
    <w:rsid w:val="003F0C96"/>
    <w:rsid w:val="003F74F4"/>
    <w:rsid w:val="00412F47"/>
    <w:rsid w:val="004757E2"/>
    <w:rsid w:val="004C5E24"/>
    <w:rsid w:val="004D1B61"/>
    <w:rsid w:val="004E279B"/>
    <w:rsid w:val="004E426C"/>
    <w:rsid w:val="004E547B"/>
    <w:rsid w:val="004E5773"/>
    <w:rsid w:val="004F060C"/>
    <w:rsid w:val="004F2D13"/>
    <w:rsid w:val="0053232A"/>
    <w:rsid w:val="00544DF9"/>
    <w:rsid w:val="0054693F"/>
    <w:rsid w:val="005714FD"/>
    <w:rsid w:val="005F2984"/>
    <w:rsid w:val="0065439D"/>
    <w:rsid w:val="0069557F"/>
    <w:rsid w:val="006A0359"/>
    <w:rsid w:val="006A1B4D"/>
    <w:rsid w:val="006A247C"/>
    <w:rsid w:val="006A3C9D"/>
    <w:rsid w:val="006E624F"/>
    <w:rsid w:val="006F13AE"/>
    <w:rsid w:val="00715983"/>
    <w:rsid w:val="00774767"/>
    <w:rsid w:val="00794109"/>
    <w:rsid w:val="007A21F3"/>
    <w:rsid w:val="007D0F70"/>
    <w:rsid w:val="007E540B"/>
    <w:rsid w:val="008213A1"/>
    <w:rsid w:val="00854FB9"/>
    <w:rsid w:val="008603F4"/>
    <w:rsid w:val="00873026"/>
    <w:rsid w:val="00877A8C"/>
    <w:rsid w:val="00891E35"/>
    <w:rsid w:val="008A3EBD"/>
    <w:rsid w:val="008B2E4C"/>
    <w:rsid w:val="008B7A1B"/>
    <w:rsid w:val="009005CA"/>
    <w:rsid w:val="00915E49"/>
    <w:rsid w:val="00944464"/>
    <w:rsid w:val="00954954"/>
    <w:rsid w:val="00970514"/>
    <w:rsid w:val="00975CB6"/>
    <w:rsid w:val="00982713"/>
    <w:rsid w:val="009B73B4"/>
    <w:rsid w:val="009C0207"/>
    <w:rsid w:val="009C0211"/>
    <w:rsid w:val="009E6365"/>
    <w:rsid w:val="00A42094"/>
    <w:rsid w:val="00A461D9"/>
    <w:rsid w:val="00A90FAD"/>
    <w:rsid w:val="00A96BA1"/>
    <w:rsid w:val="00AA1848"/>
    <w:rsid w:val="00AE29CC"/>
    <w:rsid w:val="00B07E7F"/>
    <w:rsid w:val="00B24045"/>
    <w:rsid w:val="00B27B46"/>
    <w:rsid w:val="00B36BFE"/>
    <w:rsid w:val="00B457A9"/>
    <w:rsid w:val="00B5613E"/>
    <w:rsid w:val="00B81C18"/>
    <w:rsid w:val="00BA7A43"/>
    <w:rsid w:val="00BB7891"/>
    <w:rsid w:val="00BE6B77"/>
    <w:rsid w:val="00C01609"/>
    <w:rsid w:val="00C4218E"/>
    <w:rsid w:val="00C46FB8"/>
    <w:rsid w:val="00CB519F"/>
    <w:rsid w:val="00CF69E8"/>
    <w:rsid w:val="00D05C64"/>
    <w:rsid w:val="00D358FE"/>
    <w:rsid w:val="00D35B21"/>
    <w:rsid w:val="00D54991"/>
    <w:rsid w:val="00D7748F"/>
    <w:rsid w:val="00D92EC3"/>
    <w:rsid w:val="00DB6622"/>
    <w:rsid w:val="00DE31A1"/>
    <w:rsid w:val="00DE6EED"/>
    <w:rsid w:val="00E22F72"/>
    <w:rsid w:val="00E2598F"/>
    <w:rsid w:val="00E275AD"/>
    <w:rsid w:val="00E33AE5"/>
    <w:rsid w:val="00E5313E"/>
    <w:rsid w:val="00E6084C"/>
    <w:rsid w:val="00E77A81"/>
    <w:rsid w:val="00E83561"/>
    <w:rsid w:val="00E8721D"/>
    <w:rsid w:val="00E90B52"/>
    <w:rsid w:val="00ED30FE"/>
    <w:rsid w:val="00ED6E83"/>
    <w:rsid w:val="00EF75D6"/>
    <w:rsid w:val="00EF76AD"/>
    <w:rsid w:val="00F15906"/>
    <w:rsid w:val="00F2227F"/>
    <w:rsid w:val="00F46F45"/>
    <w:rsid w:val="00F66FF4"/>
    <w:rsid w:val="00F76915"/>
    <w:rsid w:val="00FD5110"/>
    <w:rsid w:val="00FE0621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5E4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15E4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E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E49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5E4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15E4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E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E49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vse.org" TargetMode="External"/><Relationship Id="rId3" Type="http://schemas.openxmlformats.org/officeDocument/2006/relationships/settings" Target="settings.xml"/><Relationship Id="rId7" Type="http://schemas.openxmlformats.org/officeDocument/2006/relationships/image" Target="cid:1.2935385203@web24903.mail.ird.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ovse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2012-04-16T13:29:00Z</dcterms:created>
  <dcterms:modified xsi:type="dcterms:W3CDTF">2016-08-25T14:09:00Z</dcterms:modified>
</cp:coreProperties>
</file>